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64B4A" w14:textId="77777777" w:rsidR="00E908C8" w:rsidRPr="00AA2E19" w:rsidRDefault="00E908C8" w:rsidP="00E908C8">
      <w:pPr>
        <w:pStyle w:val="Nagwek4"/>
        <w:rPr>
          <w:rFonts w:ascii="Bookman Old Style" w:hAnsi="Bookman Old Style"/>
          <w:sz w:val="28"/>
          <w:szCs w:val="32"/>
        </w:rPr>
      </w:pPr>
      <w:bookmarkStart w:id="0" w:name="_Toc501399537"/>
      <w:r w:rsidRPr="00AA2E19">
        <w:rPr>
          <w:rFonts w:ascii="Bookman Old Style" w:hAnsi="Bookman Old Style"/>
          <w:sz w:val="28"/>
          <w:szCs w:val="32"/>
        </w:rPr>
        <w:t>D 06.03.01. Pobocze utwardzone kruszywem łamanym</w:t>
      </w:r>
      <w:bookmarkEnd w:id="0"/>
      <w:r w:rsidRPr="00AA2E19">
        <w:rPr>
          <w:rFonts w:ascii="Bookman Old Style" w:hAnsi="Bookman Old Style"/>
          <w:sz w:val="32"/>
          <w:szCs w:val="32"/>
        </w:rPr>
        <w:t xml:space="preserve"> </w:t>
      </w:r>
    </w:p>
    <w:p w14:paraId="73F32E5F" w14:textId="77777777" w:rsidR="00E908C8" w:rsidRPr="00F676AE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</w:p>
    <w:p w14:paraId="5346E035" w14:textId="77777777" w:rsidR="00E908C8" w:rsidRPr="00F676AE" w:rsidRDefault="00E908C8" w:rsidP="00E908C8">
      <w:pPr>
        <w:pStyle w:val="Standardowytekst1"/>
        <w:rPr>
          <w:rFonts w:ascii="Bookman Old Style" w:hAnsi="Bookman Old Style"/>
          <w:b/>
        </w:rPr>
      </w:pPr>
      <w:r w:rsidRPr="00F676AE">
        <w:rPr>
          <w:rFonts w:ascii="Bookman Old Style" w:hAnsi="Bookman Old Style"/>
          <w:b/>
        </w:rPr>
        <w:t xml:space="preserve">1. WSTĘP </w:t>
      </w:r>
    </w:p>
    <w:p w14:paraId="61142818" w14:textId="77777777" w:rsidR="00E908C8" w:rsidRPr="00F676AE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F676AE">
        <w:rPr>
          <w:rFonts w:ascii="Bookman Old Style" w:hAnsi="Bookman Old Style"/>
          <w:b/>
          <w:u w:val="single"/>
        </w:rPr>
        <w:t>1.1. Przedmiot STWiORB</w:t>
      </w:r>
    </w:p>
    <w:p w14:paraId="5D530E90" w14:textId="0A142FF0" w:rsidR="00E908C8" w:rsidRPr="00F842F5" w:rsidRDefault="00E908C8" w:rsidP="00E908C8">
      <w:pPr>
        <w:jc w:val="both"/>
        <w:rPr>
          <w:rFonts w:ascii="Bookman Old Style" w:hAnsi="Bookman Old Style"/>
          <w:b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Przedmiotem niniejszej STWiORB są wymagania dotyczące wykonania i odbioru utwardzonych poboczy dla zadania pn.: </w:t>
      </w:r>
      <w:r w:rsidR="00A5314D" w:rsidRPr="00A5314D">
        <w:rPr>
          <w:rFonts w:ascii="Bookman Old Style" w:hAnsi="Bookman Old Style"/>
          <w:b/>
          <w:bCs/>
          <w:sz w:val="20"/>
          <w:szCs w:val="20"/>
        </w:rPr>
        <w:t>„Budowa ul. Cichej, Południowej i Zachodniej w msc. Bukowa</w:t>
      </w:r>
      <w:r w:rsidRPr="007455B1">
        <w:rPr>
          <w:rFonts w:ascii="Bookman Old Style" w:hAnsi="Bookman Old Style"/>
          <w:b/>
          <w:sz w:val="20"/>
          <w:szCs w:val="20"/>
        </w:rPr>
        <w:t>”.</w:t>
      </w:r>
    </w:p>
    <w:p w14:paraId="56628F17" w14:textId="77777777" w:rsidR="00E908C8" w:rsidRPr="00F842F5" w:rsidRDefault="00E908C8" w:rsidP="00E908C8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F842F5">
        <w:rPr>
          <w:rFonts w:ascii="Bookman Old Style" w:hAnsi="Bookman Old Style"/>
          <w:b/>
          <w:sz w:val="20"/>
          <w:szCs w:val="20"/>
          <w:u w:val="single"/>
        </w:rPr>
        <w:t xml:space="preserve">1.2. Zakres stosowania STWiORB </w:t>
      </w:r>
    </w:p>
    <w:p w14:paraId="1E184AF6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STWiORB jest stosowana jako dokument  kontraktowy przy realizacji robót wymienionych </w:t>
      </w:r>
      <w:r>
        <w:rPr>
          <w:rFonts w:ascii="Bookman Old Style" w:hAnsi="Bookman Old Style"/>
          <w:sz w:val="20"/>
          <w:szCs w:val="20"/>
        </w:rPr>
        <w:br/>
      </w:r>
      <w:r w:rsidRPr="001D62C9">
        <w:rPr>
          <w:rFonts w:ascii="Bookman Old Style" w:hAnsi="Bookman Old Style"/>
          <w:sz w:val="20"/>
          <w:szCs w:val="20"/>
        </w:rPr>
        <w:t xml:space="preserve">w pkt.1.3. </w:t>
      </w:r>
    </w:p>
    <w:p w14:paraId="25007E89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1.3. Zakres robót objętych STWiORB </w:t>
      </w:r>
    </w:p>
    <w:p w14:paraId="1F0305F8" w14:textId="0161133B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Ustalenia zawarte w niniejszej STWiORB dotyczą zasad prowadzenia robót związanych </w:t>
      </w:r>
      <w:r>
        <w:rPr>
          <w:rFonts w:ascii="Bookman Old Style" w:hAnsi="Bookman Old Style"/>
          <w:sz w:val="20"/>
          <w:szCs w:val="20"/>
        </w:rPr>
        <w:br/>
      </w:r>
      <w:r w:rsidRPr="001D62C9">
        <w:rPr>
          <w:rFonts w:ascii="Bookman Old Style" w:hAnsi="Bookman Old Style"/>
          <w:sz w:val="20"/>
          <w:szCs w:val="20"/>
        </w:rPr>
        <w:t xml:space="preserve">z realizacją i odbiorem pobocza utwardzonego za pomocą kruszywa łamanego </w:t>
      </w:r>
      <w:r>
        <w:rPr>
          <w:rFonts w:ascii="Bookman Old Style" w:hAnsi="Bookman Old Style"/>
          <w:sz w:val="20"/>
          <w:szCs w:val="20"/>
        </w:rPr>
        <w:t>0/31,5 gr 1</w:t>
      </w:r>
      <w:r w:rsidR="00A5314D">
        <w:rPr>
          <w:rFonts w:ascii="Bookman Old Style" w:hAnsi="Bookman Old Style"/>
          <w:sz w:val="20"/>
          <w:szCs w:val="20"/>
        </w:rPr>
        <w:t>2</w:t>
      </w:r>
      <w:r>
        <w:rPr>
          <w:rFonts w:ascii="Bookman Old Style" w:hAnsi="Bookman Old Style"/>
          <w:sz w:val="20"/>
          <w:szCs w:val="20"/>
        </w:rPr>
        <w:t xml:space="preserve"> cm wzdłuż drogi </w:t>
      </w:r>
      <w:r w:rsidR="00A5314D">
        <w:rPr>
          <w:rFonts w:ascii="Bookman Old Style" w:hAnsi="Bookman Old Style"/>
          <w:sz w:val="20"/>
          <w:szCs w:val="20"/>
        </w:rPr>
        <w:t xml:space="preserve">gminnej </w:t>
      </w:r>
      <w:r w:rsidRPr="001D62C9">
        <w:rPr>
          <w:rFonts w:ascii="Bookman Old Style" w:hAnsi="Bookman Old Style"/>
          <w:sz w:val="20"/>
          <w:szCs w:val="20"/>
        </w:rPr>
        <w:t>zgodnie z Dokumentacją Projektową.</w:t>
      </w:r>
    </w:p>
    <w:p w14:paraId="5208B769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1.4. Określenia podstawowe </w:t>
      </w:r>
    </w:p>
    <w:p w14:paraId="33711974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>1.4.1. Pobocze</w:t>
      </w:r>
      <w:r w:rsidRPr="001D62C9">
        <w:rPr>
          <w:rFonts w:ascii="Bookman Old Style" w:hAnsi="Bookman Old Style"/>
          <w:sz w:val="20"/>
          <w:szCs w:val="20"/>
        </w:rPr>
        <w:t xml:space="preserve"> – część korony drogi przeznaczona do chwilowego postoju pojazdów, umieszczenia urządzeń organizacji i bezpieczeństwa ruchu oraz do ruchu pieszych, służąca jednocześnie do bocznego oparcia konstrukcji nawierzchni.</w:t>
      </w:r>
    </w:p>
    <w:p w14:paraId="14EA369C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>1.4.2. Utwardzone pobocze</w:t>
      </w:r>
      <w:r w:rsidRPr="001D62C9">
        <w:rPr>
          <w:rFonts w:ascii="Bookman Old Style" w:hAnsi="Bookman Old Style"/>
          <w:sz w:val="20"/>
          <w:szCs w:val="20"/>
        </w:rPr>
        <w:t xml:space="preserve"> – część pobocza drogowego, posiadająca w ciągu całego roku nośność wystarczającą do przejęcia obciążenia statycznego od kół samochodów, dopuszczonych do ruchu na drodze.</w:t>
      </w:r>
    </w:p>
    <w:p w14:paraId="783DAC60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>1.4.3. Gruntowe pobocze</w:t>
      </w:r>
      <w:r w:rsidRPr="001D62C9">
        <w:rPr>
          <w:rFonts w:ascii="Bookman Old Style" w:hAnsi="Bookman Old Style"/>
          <w:sz w:val="20"/>
          <w:szCs w:val="20"/>
        </w:rPr>
        <w:t xml:space="preserve"> – część pobocza drogowego, stanowiąca obrzeże utwardzonego pobocza, przeznaczona do ustawiania znaków i urządzeń zabezpieczenia ruchu.</w:t>
      </w:r>
    </w:p>
    <w:p w14:paraId="710AD76F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>1.4.4. Utwardzenie pobocza kruszywem łamanym</w:t>
      </w:r>
      <w:r w:rsidRPr="001D62C9">
        <w:rPr>
          <w:rFonts w:ascii="Bookman Old Style" w:hAnsi="Bookman Old Style"/>
          <w:sz w:val="20"/>
          <w:szCs w:val="20"/>
        </w:rPr>
        <w:t xml:space="preserve"> </w:t>
      </w:r>
      <w:r w:rsidRPr="001D62C9">
        <w:rPr>
          <w:rFonts w:ascii="Bookman Old Style" w:hAnsi="Bookman Old Style"/>
          <w:b/>
          <w:sz w:val="20"/>
          <w:szCs w:val="20"/>
        </w:rPr>
        <w:t xml:space="preserve">niezwiązanym </w:t>
      </w:r>
      <w:r w:rsidRPr="001D62C9">
        <w:rPr>
          <w:rFonts w:ascii="Bookman Old Style" w:hAnsi="Bookman Old Style"/>
          <w:sz w:val="20"/>
          <w:szCs w:val="20"/>
        </w:rPr>
        <w:t>– proces technologiczny, polegający na odpowiednim zagęszczeniu w optymalnej wilgotności kruszywa o właściwie dobranym uziarnieniu .</w:t>
      </w:r>
    </w:p>
    <w:p w14:paraId="47F7A134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>1.4.5.</w:t>
      </w:r>
      <w:r w:rsidRPr="001D62C9">
        <w:rPr>
          <w:rFonts w:ascii="Bookman Old Style" w:hAnsi="Bookman Old Style"/>
          <w:sz w:val="20"/>
          <w:szCs w:val="20"/>
        </w:rPr>
        <w:t xml:space="preserve"> Pozostałe określenia podstawowe są zgodne z obowiązującymi aktami prawnymi i okre</w:t>
      </w:r>
      <w:r>
        <w:rPr>
          <w:rFonts w:ascii="Bookman Old Style" w:hAnsi="Bookman Old Style"/>
          <w:sz w:val="20"/>
          <w:szCs w:val="20"/>
        </w:rPr>
        <w:t>śleniami podanymi w STWiORB D-</w:t>
      </w:r>
      <w:r w:rsidRPr="001D62C9">
        <w:rPr>
          <w:rFonts w:ascii="Bookman Old Style" w:hAnsi="Bookman Old Style"/>
          <w:sz w:val="20"/>
          <w:szCs w:val="20"/>
        </w:rPr>
        <w:t>00.00.00. „Wymagania ogólne” pkt 1.4.</w:t>
      </w:r>
    </w:p>
    <w:p w14:paraId="01F026AE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1.5. Ogólne wymagania dotyczące robót </w:t>
      </w:r>
    </w:p>
    <w:p w14:paraId="75088C11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Ogólne wymagania dotyczące robót podano w STWiORB D-00.00.00 „Wymagania ogólne” pkt. 1.5. </w:t>
      </w:r>
    </w:p>
    <w:p w14:paraId="63F2647B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</w:p>
    <w:p w14:paraId="6505C0A3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  <w:r w:rsidRPr="001D62C9">
        <w:rPr>
          <w:rFonts w:ascii="Bookman Old Style" w:hAnsi="Bookman Old Style"/>
          <w:b/>
        </w:rPr>
        <w:t xml:space="preserve">2. MATERIAŁY </w:t>
      </w:r>
    </w:p>
    <w:p w14:paraId="28BC1405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2.1. Ogólne wymagania dotyczące materiałów </w:t>
      </w:r>
    </w:p>
    <w:p w14:paraId="5258BF62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Ogólne wymagania dotyczące materiałów, ich pozyskiwania i składowania, podano </w:t>
      </w:r>
      <w:r>
        <w:rPr>
          <w:rFonts w:ascii="Bookman Old Style" w:hAnsi="Bookman Old Style"/>
          <w:sz w:val="20"/>
          <w:szCs w:val="20"/>
        </w:rPr>
        <w:br/>
      </w:r>
      <w:r w:rsidRPr="001D62C9">
        <w:rPr>
          <w:rFonts w:ascii="Bookman Old Style" w:hAnsi="Bookman Old Style"/>
          <w:sz w:val="20"/>
          <w:szCs w:val="20"/>
        </w:rPr>
        <w:t xml:space="preserve">w STWiORB D -00.00.00 „Wymagania ogólne” pkt. 2. </w:t>
      </w:r>
    </w:p>
    <w:p w14:paraId="31B2FBF4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2.2. Rodzaje materiałów </w:t>
      </w:r>
    </w:p>
    <w:p w14:paraId="3A7881F4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Do wykonania uzupełnienie poboczy należy  stosować mieszankę kruszywa kamiennego łamanego o uziarnieniu 0/31,5mm. Kruszywa powinny spełniać wymogi według PN-EN 13242:2004 lub PN-EN 13285:2004. Kruszywo powinno być jednorodne, zaleca się użycie kruszywa o jasnej barwie.</w:t>
      </w:r>
    </w:p>
    <w:p w14:paraId="3C1E3DF7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</w:p>
    <w:p w14:paraId="6F3BFBC7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  <w:r w:rsidRPr="001D62C9">
        <w:rPr>
          <w:rFonts w:ascii="Bookman Old Style" w:hAnsi="Bookman Old Style"/>
          <w:b/>
        </w:rPr>
        <w:t xml:space="preserve">3. SPRZĘT </w:t>
      </w:r>
    </w:p>
    <w:p w14:paraId="6B36F355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3.1. Ogólne wymagania dotyczące sprzętu </w:t>
      </w:r>
    </w:p>
    <w:p w14:paraId="3621EF67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Ogólne wymagania dotyczące sprzętu podano w STWiORB D- 00.00.00 „Wymagania ogólne” pkt. 3. </w:t>
      </w:r>
    </w:p>
    <w:p w14:paraId="4EEA0F12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3.2. Sprzęt do ścinania i uzupełniania poboczy </w:t>
      </w:r>
    </w:p>
    <w:p w14:paraId="0450F86A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Wykonawca przystępujący do wykonania robót określonych w niniejszej STWiORB powinien wykazać się</w:t>
      </w:r>
    </w:p>
    <w:p w14:paraId="3156A9F0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możliwością korzystania z następującego sprzętu: </w:t>
      </w:r>
    </w:p>
    <w:p w14:paraId="64C23533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równiarek do profilowania, </w:t>
      </w:r>
    </w:p>
    <w:p w14:paraId="097FDDA4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ładowarek czołowych, </w:t>
      </w:r>
    </w:p>
    <w:p w14:paraId="09669694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walców </w:t>
      </w:r>
    </w:p>
    <w:p w14:paraId="3FAB4F82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płytowych zagęszczarek wibracyjnych, </w:t>
      </w:r>
    </w:p>
    <w:p w14:paraId="28323D84" w14:textId="709A35A6" w:rsidR="00E908C8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przewoźnych zbiorników na wodę do zwilżania mieszanki kruszywa. </w:t>
      </w:r>
    </w:p>
    <w:p w14:paraId="624C2182" w14:textId="77777777" w:rsidR="00AA2E19" w:rsidRPr="00AA2E19" w:rsidRDefault="00AA2E19" w:rsidP="00AA2E19">
      <w:pPr>
        <w:pStyle w:val="Akapitzlist"/>
        <w:ind w:left="284"/>
        <w:jc w:val="both"/>
        <w:rPr>
          <w:rFonts w:ascii="Bookman Old Style" w:hAnsi="Bookman Old Style"/>
          <w:sz w:val="20"/>
          <w:szCs w:val="20"/>
        </w:rPr>
      </w:pPr>
    </w:p>
    <w:p w14:paraId="2A6EBD3B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  <w:r w:rsidRPr="001D62C9">
        <w:rPr>
          <w:rFonts w:ascii="Bookman Old Style" w:hAnsi="Bookman Old Style"/>
          <w:b/>
        </w:rPr>
        <w:t xml:space="preserve">4. TRANSPORT </w:t>
      </w:r>
    </w:p>
    <w:p w14:paraId="755E56D3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4.1. Ogólne wymagania dotyczące transportu </w:t>
      </w:r>
    </w:p>
    <w:p w14:paraId="3F35C70D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lastRenderedPageBreak/>
        <w:t xml:space="preserve">Ogólne wymagania dotyczące transportu podano w STWiORB D.-00.00.00 „Wymagania ogólne” pkt 4. </w:t>
      </w:r>
    </w:p>
    <w:p w14:paraId="0D2214DE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4.2. Transport materiałów </w:t>
      </w:r>
    </w:p>
    <w:p w14:paraId="6F8745A3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Transport kruszywa powinien odbywać się w warunkach zabezpieczających go przed za</w:t>
      </w:r>
      <w:r>
        <w:rPr>
          <w:rFonts w:ascii="Bookman Old Style" w:hAnsi="Bookman Old Style"/>
          <w:sz w:val="20"/>
          <w:szCs w:val="20"/>
        </w:rPr>
        <w:t xml:space="preserve">nieczyszczeniem </w:t>
      </w:r>
      <w:r w:rsidRPr="001D62C9">
        <w:rPr>
          <w:rFonts w:ascii="Bookman Old Style" w:hAnsi="Bookman Old Style"/>
          <w:sz w:val="20"/>
          <w:szCs w:val="20"/>
        </w:rPr>
        <w:t xml:space="preserve">i zmieszaniem z innymi materiałami. </w:t>
      </w:r>
    </w:p>
    <w:p w14:paraId="338778E0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</w:p>
    <w:p w14:paraId="6F34EA2F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  <w:r w:rsidRPr="001D62C9">
        <w:rPr>
          <w:rFonts w:ascii="Bookman Old Style" w:hAnsi="Bookman Old Style"/>
          <w:b/>
        </w:rPr>
        <w:t xml:space="preserve">5. WYKONANIE ROBÓT </w:t>
      </w:r>
    </w:p>
    <w:p w14:paraId="5C0911D9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>5.1. Zasady wykonywania robót</w:t>
      </w:r>
    </w:p>
    <w:p w14:paraId="62FE8693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Sposób wykonania robót powinny być zgodne z Dokumentacją Projektową i STWiORB. </w:t>
      </w:r>
    </w:p>
    <w:p w14:paraId="597D9FF3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>5.2. Wbudowanie i zagęszczenie mieszanki kruszywa</w:t>
      </w:r>
    </w:p>
    <w:p w14:paraId="436E125B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Mieszanka kruszywa powinna być rozkładana w warstwie o grubości 10 cm, przy pomocy układarki lub równiarki, z zachowaniem wymaganych spadków i rzędnych wysokościowych. Rozpoczęcie budowy następnej warstwy może nastąpić po odbiorze poprzedniej warstwy przez Inżyniera. W miejscach, gdzie widoczna jest segregacja kruszywa, należy przed zagęszczeniem wymienić kruszywo na materiał o odpowiednich właściwościach.</w:t>
      </w:r>
    </w:p>
    <w:p w14:paraId="70C3082B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Zagęszczanie należy rozpocząć od dolnej krawędzi i przesuwać pasami podłużnymi, częściowo nakładającymi się, w kierunku górnej krawędzi. Nierówności i zagłębienia powstające w czasie zagęszczania powinny być wyrównywane bieżąco przez spulchnienie warstwy kruszywa i dodanie bądź usunięcie materiału, aż do otrzymania równej powierzchni. </w:t>
      </w:r>
    </w:p>
    <w:p w14:paraId="051D5508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Do zagęszczenia zaleca się stosowanie maszyn (np. walców, zagęszczarek płytowych) </w:t>
      </w:r>
      <w:r>
        <w:rPr>
          <w:rFonts w:ascii="Bookman Old Style" w:hAnsi="Bookman Old Style"/>
          <w:sz w:val="20"/>
          <w:szCs w:val="20"/>
        </w:rPr>
        <w:br/>
      </w:r>
      <w:r w:rsidRPr="001D62C9">
        <w:rPr>
          <w:rFonts w:ascii="Bookman Old Style" w:hAnsi="Bookman Old Style"/>
          <w:sz w:val="20"/>
          <w:szCs w:val="20"/>
        </w:rPr>
        <w:t xml:space="preserve">o szerokości nie większej niż szerokość utwardzonego pobocza. </w:t>
      </w:r>
    </w:p>
    <w:p w14:paraId="5153CDAD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Wilgotność mieszanki kruszywa podczas zagęszczania powinna odpowiadać wilgotności optymalnej z tolerancją ± 2%. Materiał nadmiernie nawilgocony, powinien zostać osuszony przez mieszanie i napowietrzanie. W przypadku, gdy wilgotność mieszanki kruszywa jest niższa od optymalnej, mieszanka powinna być zwilżona określoną ilością wody </w:t>
      </w:r>
      <w:r>
        <w:rPr>
          <w:rFonts w:ascii="Bookman Old Style" w:hAnsi="Bookman Old Style"/>
          <w:sz w:val="20"/>
          <w:szCs w:val="20"/>
        </w:rPr>
        <w:br/>
      </w:r>
      <w:r w:rsidRPr="001D62C9">
        <w:rPr>
          <w:rFonts w:ascii="Bookman Old Style" w:hAnsi="Bookman Old Style"/>
          <w:sz w:val="20"/>
          <w:szCs w:val="20"/>
        </w:rPr>
        <w:t xml:space="preserve">i równomiernie wymieszana. </w:t>
      </w:r>
    </w:p>
    <w:p w14:paraId="1706416A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Przy wbudowywaniu i zagęszczaniu mieszanki kruszywa na utwardzonym poboczu należy zwrócić szczególną uwagę na właściwe jego wykonanie przy krawędzi jezdni. Styk jezdni i utwardzonego pobocza powinien być równy i szczelny.</w:t>
      </w:r>
    </w:p>
    <w:p w14:paraId="660831A2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>5.3. Roboty wykończeniowe</w:t>
      </w:r>
    </w:p>
    <w:p w14:paraId="6365018B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Roboty wykończeniowe powinny być zgodne z Dokumentacją Projektową i STWiORB. Do robót wykończeniowych należą prace związane z dostosowaniem wykonanych robót do istniejących warunków terenowych, takie jak:</w:t>
      </w:r>
    </w:p>
    <w:p w14:paraId="34F92EB4" w14:textId="77777777" w:rsidR="00E908C8" w:rsidRPr="001D62C9" w:rsidRDefault="00E908C8" w:rsidP="00E908C8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wyrównanie poziomu utwardzonego pobocza i gruntowego pobocza z ewentualnym splantowaniem istniejącego gruntowego pobocza,</w:t>
      </w:r>
    </w:p>
    <w:p w14:paraId="568176DF" w14:textId="77777777" w:rsidR="00E908C8" w:rsidRPr="001D62C9" w:rsidRDefault="00E908C8" w:rsidP="00E908C8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niezbędne uzupełnienia zniszczonej w czasie robót roślinności, np. zatrawienia, </w:t>
      </w:r>
    </w:p>
    <w:p w14:paraId="3FBA2DCA" w14:textId="77777777" w:rsidR="00E908C8" w:rsidRPr="001D62C9" w:rsidRDefault="00E908C8" w:rsidP="00E908C8">
      <w:pPr>
        <w:pStyle w:val="Akapitzlist"/>
        <w:numPr>
          <w:ilvl w:val="0"/>
          <w:numId w:val="2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roboty porządkujące otoczenie terenu robót.</w:t>
      </w:r>
    </w:p>
    <w:p w14:paraId="647B83FC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</w:p>
    <w:p w14:paraId="71834012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  <w:r w:rsidRPr="001D62C9">
        <w:rPr>
          <w:rFonts w:ascii="Bookman Old Style" w:hAnsi="Bookman Old Style"/>
          <w:b/>
        </w:rPr>
        <w:t xml:space="preserve">6. KONTROLA JAKOŚCI ROBÓT </w:t>
      </w:r>
    </w:p>
    <w:p w14:paraId="533DF776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6.1. Ogólne zasady kontroli jakości robót </w:t>
      </w:r>
    </w:p>
    <w:p w14:paraId="0B4B4CB3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Ogólne zasady kontroli jakości robót podano w STWiORB D-00.00.00 „Wymagania ogólne” pkt 6. </w:t>
      </w:r>
    </w:p>
    <w:p w14:paraId="62CA38E8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6.2. Badania przed przystąpieniem do robót </w:t>
      </w:r>
    </w:p>
    <w:p w14:paraId="02F5F9DF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Przed przystąpieniem do robót Wykonawca przeprowadzi badania kruszywa proponowanego do wykonania</w:t>
      </w:r>
    </w:p>
    <w:p w14:paraId="317F8E78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nawierzchni poboczy.  </w:t>
      </w:r>
    </w:p>
    <w:p w14:paraId="05895CC1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 xml:space="preserve">6.3. Badania w czasie robót </w:t>
      </w:r>
    </w:p>
    <w:p w14:paraId="0B653FC2" w14:textId="1DAE6DB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Częstotliwość oraz zakres badań i pomiarów w czasie prowadzenia robót podano w tablicy 1.</w:t>
      </w:r>
    </w:p>
    <w:p w14:paraId="464BA176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 xml:space="preserve">Tablica 1. </w:t>
      </w:r>
      <w:r w:rsidRPr="001D62C9">
        <w:rPr>
          <w:rFonts w:ascii="Bookman Old Style" w:hAnsi="Bookman Old Style"/>
          <w:sz w:val="20"/>
          <w:szCs w:val="20"/>
        </w:rPr>
        <w:t>Częstotliwość oraz zakres badań i pomiarów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25"/>
        <w:gridCol w:w="5431"/>
        <w:gridCol w:w="2998"/>
      </w:tblGrid>
      <w:tr w:rsidR="00E908C8" w:rsidRPr="001D62C9" w14:paraId="2431F98A" w14:textId="77777777" w:rsidTr="00E37152">
        <w:tc>
          <w:tcPr>
            <w:tcW w:w="402" w:type="dxa"/>
          </w:tcPr>
          <w:p w14:paraId="5E7E0E3D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Lp.</w:t>
            </w:r>
          </w:p>
        </w:tc>
        <w:tc>
          <w:tcPr>
            <w:tcW w:w="5607" w:type="dxa"/>
            <w:vAlign w:val="center"/>
          </w:tcPr>
          <w:p w14:paraId="24F517AC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Wyszczególnienie badań</w:t>
            </w:r>
          </w:p>
        </w:tc>
        <w:tc>
          <w:tcPr>
            <w:tcW w:w="3071" w:type="dxa"/>
          </w:tcPr>
          <w:p w14:paraId="6999EF55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Częstotliwość badań</w:t>
            </w:r>
          </w:p>
          <w:p w14:paraId="517F8584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Minimalna liczba badań na dziennej działce roboczej</w:t>
            </w:r>
          </w:p>
        </w:tc>
      </w:tr>
      <w:tr w:rsidR="00E908C8" w:rsidRPr="001D62C9" w14:paraId="6136EAA3" w14:textId="77777777" w:rsidTr="00E37152">
        <w:tc>
          <w:tcPr>
            <w:tcW w:w="402" w:type="dxa"/>
          </w:tcPr>
          <w:p w14:paraId="2C3EDBC8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5607" w:type="dxa"/>
          </w:tcPr>
          <w:p w14:paraId="0282476D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 xml:space="preserve">Uziarnienie mieszanki uzupełniającej </w:t>
            </w:r>
          </w:p>
        </w:tc>
        <w:tc>
          <w:tcPr>
            <w:tcW w:w="3071" w:type="dxa"/>
            <w:vAlign w:val="center"/>
          </w:tcPr>
          <w:p w14:paraId="5AFAC3D0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2 próbki</w:t>
            </w:r>
          </w:p>
        </w:tc>
      </w:tr>
      <w:tr w:rsidR="00E908C8" w:rsidRPr="001D62C9" w14:paraId="590FB638" w14:textId="77777777" w:rsidTr="00E37152">
        <w:tc>
          <w:tcPr>
            <w:tcW w:w="402" w:type="dxa"/>
          </w:tcPr>
          <w:p w14:paraId="12D46B86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5607" w:type="dxa"/>
          </w:tcPr>
          <w:p w14:paraId="7A2DB444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 xml:space="preserve">Wilgotność optymalna mieszanki uzupełniającej </w:t>
            </w:r>
          </w:p>
        </w:tc>
        <w:tc>
          <w:tcPr>
            <w:tcW w:w="3071" w:type="dxa"/>
            <w:vAlign w:val="center"/>
          </w:tcPr>
          <w:p w14:paraId="46698492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2 próbki</w:t>
            </w:r>
          </w:p>
        </w:tc>
      </w:tr>
      <w:tr w:rsidR="00E908C8" w:rsidRPr="001D62C9" w14:paraId="13B10DB4" w14:textId="77777777" w:rsidTr="00E37152">
        <w:tc>
          <w:tcPr>
            <w:tcW w:w="402" w:type="dxa"/>
          </w:tcPr>
          <w:p w14:paraId="4ACE72BC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5607" w:type="dxa"/>
          </w:tcPr>
          <w:p w14:paraId="6D1481D1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Wilgotność optymalna gruntu w poboczu</w:t>
            </w:r>
          </w:p>
        </w:tc>
        <w:tc>
          <w:tcPr>
            <w:tcW w:w="3071" w:type="dxa"/>
            <w:vAlign w:val="center"/>
          </w:tcPr>
          <w:p w14:paraId="46C521DE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2 próbki</w:t>
            </w:r>
          </w:p>
        </w:tc>
      </w:tr>
      <w:tr w:rsidR="00E908C8" w:rsidRPr="001D62C9" w14:paraId="18803EDB" w14:textId="77777777" w:rsidTr="00E37152">
        <w:tc>
          <w:tcPr>
            <w:tcW w:w="402" w:type="dxa"/>
          </w:tcPr>
          <w:p w14:paraId="0A6773E2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4</w:t>
            </w:r>
          </w:p>
        </w:tc>
        <w:tc>
          <w:tcPr>
            <w:tcW w:w="5607" w:type="dxa"/>
          </w:tcPr>
          <w:p w14:paraId="3DD54F23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Wskaźnik zagęszczenia w  poboczach</w:t>
            </w:r>
          </w:p>
        </w:tc>
        <w:tc>
          <w:tcPr>
            <w:tcW w:w="3071" w:type="dxa"/>
            <w:vAlign w:val="center"/>
          </w:tcPr>
          <w:p w14:paraId="3B49C7BC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2 razy na 1 km</w:t>
            </w:r>
          </w:p>
        </w:tc>
      </w:tr>
    </w:tbl>
    <w:p w14:paraId="0AF81CF2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</w:p>
    <w:p w14:paraId="6B7B2B08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  <w:u w:val="single"/>
        </w:rPr>
      </w:pPr>
      <w:r w:rsidRPr="001D62C9">
        <w:rPr>
          <w:rFonts w:ascii="Bookman Old Style" w:hAnsi="Bookman Old Style"/>
          <w:b/>
          <w:u w:val="single"/>
        </w:rPr>
        <w:t>6.4. Pomiar cech geometrycznych nawierzchni poboczy</w:t>
      </w:r>
    </w:p>
    <w:p w14:paraId="6E4E5B3C" w14:textId="47B3D820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Częstotliwość oraz zakres pomiarów po zakończeniu robót pokazano w tablicy 2.</w:t>
      </w:r>
    </w:p>
    <w:p w14:paraId="4F0F014F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lastRenderedPageBreak/>
        <w:t>Tablica 2.</w:t>
      </w:r>
      <w:r w:rsidRPr="001D62C9">
        <w:rPr>
          <w:rFonts w:ascii="Bookman Old Style" w:hAnsi="Bookman Old Style"/>
          <w:sz w:val="20"/>
          <w:szCs w:val="20"/>
        </w:rPr>
        <w:t xml:space="preserve"> Częstotliwość oraz zakres wykonywanych poboczy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25"/>
        <w:gridCol w:w="5042"/>
        <w:gridCol w:w="3387"/>
      </w:tblGrid>
      <w:tr w:rsidR="00E908C8" w:rsidRPr="001D62C9" w14:paraId="5321FE56" w14:textId="77777777" w:rsidTr="00E37152">
        <w:tc>
          <w:tcPr>
            <w:tcW w:w="402" w:type="dxa"/>
          </w:tcPr>
          <w:p w14:paraId="0DB21EED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Lp.</w:t>
            </w:r>
          </w:p>
        </w:tc>
        <w:tc>
          <w:tcPr>
            <w:tcW w:w="5159" w:type="dxa"/>
          </w:tcPr>
          <w:p w14:paraId="05591ACE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 xml:space="preserve">Wyszczególnienie </w:t>
            </w:r>
          </w:p>
        </w:tc>
        <w:tc>
          <w:tcPr>
            <w:tcW w:w="3458" w:type="dxa"/>
          </w:tcPr>
          <w:p w14:paraId="466606DC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Minimalna częstotliwość pomiarów</w:t>
            </w:r>
          </w:p>
        </w:tc>
      </w:tr>
      <w:tr w:rsidR="00E908C8" w:rsidRPr="001D62C9" w14:paraId="50ED95E3" w14:textId="77777777" w:rsidTr="00E37152">
        <w:tc>
          <w:tcPr>
            <w:tcW w:w="402" w:type="dxa"/>
          </w:tcPr>
          <w:p w14:paraId="5A270FF8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5159" w:type="dxa"/>
          </w:tcPr>
          <w:p w14:paraId="279C780F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 xml:space="preserve">Spadki poprzeczne </w:t>
            </w:r>
          </w:p>
        </w:tc>
        <w:tc>
          <w:tcPr>
            <w:tcW w:w="3458" w:type="dxa"/>
            <w:vAlign w:val="center"/>
          </w:tcPr>
          <w:p w14:paraId="38B69E8F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2 razy na 100 m</w:t>
            </w:r>
          </w:p>
        </w:tc>
      </w:tr>
      <w:tr w:rsidR="00E908C8" w:rsidRPr="001D62C9" w14:paraId="1F1F17E8" w14:textId="77777777" w:rsidTr="00E37152">
        <w:tc>
          <w:tcPr>
            <w:tcW w:w="402" w:type="dxa"/>
          </w:tcPr>
          <w:p w14:paraId="459BF94F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5159" w:type="dxa"/>
          </w:tcPr>
          <w:p w14:paraId="0BB82F5B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 xml:space="preserve">Równość podłużna </w:t>
            </w:r>
          </w:p>
        </w:tc>
        <w:tc>
          <w:tcPr>
            <w:tcW w:w="3458" w:type="dxa"/>
            <w:vAlign w:val="center"/>
          </w:tcPr>
          <w:p w14:paraId="33FD7FDD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co 50 m</w:t>
            </w:r>
          </w:p>
        </w:tc>
      </w:tr>
      <w:tr w:rsidR="00E908C8" w:rsidRPr="001D62C9" w14:paraId="639F26F4" w14:textId="77777777" w:rsidTr="00E37152">
        <w:tc>
          <w:tcPr>
            <w:tcW w:w="402" w:type="dxa"/>
          </w:tcPr>
          <w:p w14:paraId="06E4D1DD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5159" w:type="dxa"/>
          </w:tcPr>
          <w:p w14:paraId="1353AFB4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Równość poprzeczna</w:t>
            </w:r>
          </w:p>
        </w:tc>
        <w:tc>
          <w:tcPr>
            <w:tcW w:w="3458" w:type="dxa"/>
            <w:vAlign w:val="center"/>
          </w:tcPr>
          <w:p w14:paraId="0C884A82" w14:textId="77777777" w:rsidR="00E908C8" w:rsidRPr="001D62C9" w:rsidRDefault="00E908C8" w:rsidP="00E37152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co 50 m</w:t>
            </w:r>
          </w:p>
        </w:tc>
      </w:tr>
    </w:tbl>
    <w:p w14:paraId="6BA654A6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</w:p>
    <w:p w14:paraId="670A67BA" w14:textId="77777777" w:rsidR="00E908C8" w:rsidRPr="001D62C9" w:rsidRDefault="00E908C8" w:rsidP="00E908C8">
      <w:pPr>
        <w:pStyle w:val="Standardowytekst1"/>
        <w:rPr>
          <w:rFonts w:ascii="Bookman Old Style" w:hAnsi="Bookman Old Style"/>
          <w:b/>
        </w:rPr>
      </w:pPr>
      <w:r w:rsidRPr="001D62C9">
        <w:rPr>
          <w:rFonts w:ascii="Bookman Old Style" w:hAnsi="Bookman Old Style"/>
          <w:b/>
          <w:u w:val="single"/>
        </w:rPr>
        <w:t>6.4.1. Spadki poprzeczne</w:t>
      </w:r>
    </w:p>
    <w:p w14:paraId="153A3B7D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Spadki poprzeczne powinny być zgodne z Dokumentacją Projektową, z tolerancją ± 1%.</w:t>
      </w:r>
    </w:p>
    <w:p w14:paraId="7608F9FB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>6.4.2. Równość</w:t>
      </w:r>
      <w:r w:rsidRPr="001D62C9">
        <w:rPr>
          <w:rFonts w:ascii="Bookman Old Style" w:hAnsi="Bookman Old Style"/>
          <w:sz w:val="20"/>
          <w:szCs w:val="20"/>
        </w:rPr>
        <w:t xml:space="preserve"> </w:t>
      </w:r>
    </w:p>
    <w:p w14:paraId="516B0EA4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Nierówności podłużne i poprzeczne należy mierzyć łatą 4-metrową wg BN-68/8931-04. Maksymalny prześwit pod łatą nie może przekraczać 15 mm.</w:t>
      </w:r>
    </w:p>
    <w:p w14:paraId="131D782E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6C9844F0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>7. OBMIAR ROBÓT</w:t>
      </w:r>
    </w:p>
    <w:p w14:paraId="2899AF4A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1D62C9">
        <w:rPr>
          <w:rFonts w:ascii="Bookman Old Style" w:hAnsi="Bookman Old Style"/>
          <w:b/>
          <w:sz w:val="20"/>
          <w:szCs w:val="20"/>
          <w:u w:val="single"/>
        </w:rPr>
        <w:t xml:space="preserve">7.1. Ogólne zasady obmiaru robót </w:t>
      </w:r>
    </w:p>
    <w:p w14:paraId="2AE6665A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Ogólne zasady obmiaru robót podano w STWiORB D- 00.00.00 „Wymagania ogólne” pkt. 7. </w:t>
      </w:r>
    </w:p>
    <w:p w14:paraId="63F15493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1D62C9">
        <w:rPr>
          <w:rFonts w:ascii="Bookman Old Style" w:hAnsi="Bookman Old Style"/>
          <w:b/>
          <w:sz w:val="20"/>
          <w:szCs w:val="20"/>
          <w:u w:val="single"/>
        </w:rPr>
        <w:t xml:space="preserve">7.2. Jednostka obmiarowa </w:t>
      </w:r>
    </w:p>
    <w:p w14:paraId="3C4668FD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Jednostką obmiarową jest m</w:t>
      </w:r>
      <w:r w:rsidRPr="001D62C9">
        <w:rPr>
          <w:rFonts w:ascii="Bookman Old Style" w:hAnsi="Bookman Old Style"/>
          <w:sz w:val="20"/>
          <w:szCs w:val="20"/>
          <w:vertAlign w:val="superscript"/>
        </w:rPr>
        <w:t>2</w:t>
      </w:r>
      <w:r w:rsidRPr="001D62C9">
        <w:rPr>
          <w:rFonts w:ascii="Bookman Old Style" w:hAnsi="Bookman Old Style"/>
          <w:sz w:val="20"/>
          <w:szCs w:val="20"/>
        </w:rPr>
        <w:t xml:space="preserve"> (metr kwadratowy) wykonania nawierzchni poboczy.</w:t>
      </w:r>
    </w:p>
    <w:p w14:paraId="743686BA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6ADB7F16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>8. ODBIÓR ROBÓT</w:t>
      </w:r>
    </w:p>
    <w:p w14:paraId="01A75007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1D62C9">
        <w:rPr>
          <w:rFonts w:ascii="Bookman Old Style" w:hAnsi="Bookman Old Style"/>
          <w:b/>
          <w:sz w:val="20"/>
          <w:szCs w:val="20"/>
          <w:u w:val="single"/>
        </w:rPr>
        <w:t xml:space="preserve">8.1. Ogólne zasady odbioru robót </w:t>
      </w:r>
    </w:p>
    <w:p w14:paraId="0AB5D8B7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 xml:space="preserve"> </w:t>
      </w:r>
      <w:r w:rsidRPr="001D62C9">
        <w:rPr>
          <w:rFonts w:ascii="Bookman Old Style" w:hAnsi="Bookman Old Style"/>
          <w:sz w:val="20"/>
          <w:szCs w:val="20"/>
        </w:rPr>
        <w:t xml:space="preserve">Ogólne zasady odbioru robót podano w STWiORB D -00.00.00 „Wymagania ogólne” pkt. 8. Roboty uznaje się za wykonane zgodnie z Dokumentacją Projektową, STWiORB i wymaganiami Inżyniera, jeżeli wszystkie pomiary i badania z zachowaniem tolerancji wg pkt. 6 dały wyniki pozytywne. </w:t>
      </w:r>
    </w:p>
    <w:p w14:paraId="7D47927C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1D62C9">
        <w:rPr>
          <w:rFonts w:ascii="Bookman Old Style" w:hAnsi="Bookman Old Style"/>
          <w:b/>
          <w:sz w:val="20"/>
          <w:szCs w:val="20"/>
          <w:u w:val="single"/>
        </w:rPr>
        <w:t>8.2. Zasady postępowania w przypadku wystąpienia wad i usterek</w:t>
      </w:r>
    </w:p>
    <w:p w14:paraId="3DCB989E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W przypadku wystąpienia wad i usterek Wykonawca zobowiązany jest do ich usunięcia na własny koszt. Odbiór jest możliwy po spełnieniu wymagań określonych w punkcie 6. STWiORB. </w:t>
      </w:r>
    </w:p>
    <w:p w14:paraId="46AAC77B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20B38A9C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 xml:space="preserve">9. PODSTAWA PŁATNOŚCI </w:t>
      </w:r>
    </w:p>
    <w:p w14:paraId="22D93CBE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1D62C9">
        <w:rPr>
          <w:rFonts w:ascii="Bookman Old Style" w:hAnsi="Bookman Old Style"/>
          <w:b/>
          <w:sz w:val="20"/>
          <w:szCs w:val="20"/>
          <w:u w:val="single"/>
        </w:rPr>
        <w:t xml:space="preserve">9.1. Ogólne ustalenia dotyczące podstawy płatności </w:t>
      </w:r>
    </w:p>
    <w:p w14:paraId="02FC161A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Ogólne ustalenia dotyczące podstawy płatności podano w STWiORB D-</w:t>
      </w:r>
      <w:r>
        <w:rPr>
          <w:rFonts w:ascii="Bookman Old Style" w:hAnsi="Bookman Old Style"/>
          <w:sz w:val="20"/>
          <w:szCs w:val="20"/>
        </w:rPr>
        <w:t>0</w:t>
      </w:r>
      <w:r w:rsidRPr="001D62C9">
        <w:rPr>
          <w:rFonts w:ascii="Bookman Old Style" w:hAnsi="Bookman Old Style"/>
          <w:sz w:val="20"/>
          <w:szCs w:val="20"/>
        </w:rPr>
        <w:t xml:space="preserve">0.00.00 „Wymagania ogólne” pkt. 9. </w:t>
      </w:r>
    </w:p>
    <w:p w14:paraId="1BE88517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1D62C9">
        <w:rPr>
          <w:rFonts w:ascii="Bookman Old Style" w:hAnsi="Bookman Old Style"/>
          <w:b/>
          <w:sz w:val="20"/>
          <w:szCs w:val="20"/>
          <w:u w:val="single"/>
        </w:rPr>
        <w:t xml:space="preserve">9.2. Cena jednostki obmiarowej </w:t>
      </w:r>
    </w:p>
    <w:p w14:paraId="42468C30" w14:textId="77777777" w:rsidR="00E908C8" w:rsidRPr="001D62C9" w:rsidRDefault="00E908C8" w:rsidP="00E908C8">
      <w:pPr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Cena wykonania 1 m</w:t>
      </w:r>
      <w:r w:rsidRPr="001D62C9">
        <w:rPr>
          <w:rFonts w:ascii="Bookman Old Style" w:hAnsi="Bookman Old Style"/>
          <w:sz w:val="20"/>
          <w:szCs w:val="20"/>
          <w:vertAlign w:val="superscript"/>
        </w:rPr>
        <w:t>2</w:t>
      </w:r>
      <w:r w:rsidRPr="001D62C9">
        <w:rPr>
          <w:rFonts w:ascii="Bookman Old Style" w:hAnsi="Bookman Old Style"/>
          <w:sz w:val="20"/>
          <w:szCs w:val="20"/>
        </w:rPr>
        <w:t xml:space="preserve"> nawierzchni poboczy obejmuje: </w:t>
      </w:r>
    </w:p>
    <w:p w14:paraId="277CED33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prace pomiarowe i przygotowawcze, </w:t>
      </w:r>
    </w:p>
    <w:p w14:paraId="7EA4763F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oznakowanie robót, </w:t>
      </w:r>
    </w:p>
    <w:p w14:paraId="06593BFC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koszt zapewnienia niezbędnych czynników produkcji,</w:t>
      </w:r>
    </w:p>
    <w:p w14:paraId="285EF802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>zakup i dostarczenie materiału,</w:t>
      </w:r>
    </w:p>
    <w:p w14:paraId="5E5D26D0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rozłożenie materiału, </w:t>
      </w:r>
    </w:p>
    <w:p w14:paraId="36A6DB58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zagęszczenie materiału, </w:t>
      </w:r>
    </w:p>
    <w:p w14:paraId="3A399A62" w14:textId="77777777" w:rsidR="00E908C8" w:rsidRPr="001D62C9" w:rsidRDefault="00E908C8" w:rsidP="00E908C8">
      <w:pPr>
        <w:pStyle w:val="Akapitzlist"/>
        <w:numPr>
          <w:ilvl w:val="0"/>
          <w:numId w:val="1"/>
        </w:numPr>
        <w:ind w:left="284" w:hanging="284"/>
        <w:jc w:val="both"/>
        <w:rPr>
          <w:rFonts w:ascii="Bookman Old Style" w:hAnsi="Bookman Old Style"/>
          <w:sz w:val="20"/>
          <w:szCs w:val="20"/>
        </w:rPr>
      </w:pPr>
      <w:r w:rsidRPr="001D62C9">
        <w:rPr>
          <w:rFonts w:ascii="Bookman Old Style" w:hAnsi="Bookman Old Style"/>
          <w:sz w:val="20"/>
          <w:szCs w:val="20"/>
        </w:rPr>
        <w:t xml:space="preserve">przeprowadzenie pomiarów i badań laboratoryjnych wymaganych w specyfikacji technicznej. </w:t>
      </w:r>
    </w:p>
    <w:p w14:paraId="4EE46C28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</w:rPr>
      </w:pPr>
    </w:p>
    <w:p w14:paraId="2C160A1B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</w:rPr>
      </w:pPr>
      <w:r w:rsidRPr="001D62C9">
        <w:rPr>
          <w:rFonts w:ascii="Bookman Old Style" w:hAnsi="Bookman Old Style"/>
          <w:b/>
          <w:sz w:val="20"/>
          <w:szCs w:val="20"/>
        </w:rPr>
        <w:t xml:space="preserve">10. PRZEPISY ZWIĄZANE </w:t>
      </w:r>
    </w:p>
    <w:p w14:paraId="648E83E6" w14:textId="77777777" w:rsidR="00E908C8" w:rsidRPr="001D62C9" w:rsidRDefault="00E908C8" w:rsidP="00E908C8">
      <w:pPr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1D62C9">
        <w:rPr>
          <w:rFonts w:ascii="Bookman Old Style" w:hAnsi="Bookman Old Style"/>
          <w:b/>
          <w:sz w:val="20"/>
          <w:szCs w:val="20"/>
          <w:u w:val="single"/>
        </w:rPr>
        <w:t xml:space="preserve">10.1. Normy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51"/>
        <w:gridCol w:w="1984"/>
        <w:gridCol w:w="4993"/>
      </w:tblGrid>
      <w:tr w:rsidR="00E908C8" w:rsidRPr="001D62C9" w14:paraId="1D9AC6EC" w14:textId="77777777" w:rsidTr="00E37152">
        <w:tc>
          <w:tcPr>
            <w:tcW w:w="851" w:type="dxa"/>
          </w:tcPr>
          <w:p w14:paraId="4A670371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14:paraId="6CFBEDAD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PN-EN 13242:2004</w:t>
            </w:r>
          </w:p>
        </w:tc>
        <w:tc>
          <w:tcPr>
            <w:tcW w:w="4993" w:type="dxa"/>
          </w:tcPr>
          <w:p w14:paraId="17D9E7B5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Kruszywa do niezwiązanych i związanych hydraulicznie materiałów stosowanych w obiektach budowlanych i budownictwie drogowym (patrz: poz. 7 i 8)</w:t>
            </w:r>
          </w:p>
        </w:tc>
      </w:tr>
      <w:tr w:rsidR="00E908C8" w:rsidRPr="001D62C9" w14:paraId="7BF4F0AA" w14:textId="77777777" w:rsidTr="00E37152">
        <w:tc>
          <w:tcPr>
            <w:tcW w:w="851" w:type="dxa"/>
          </w:tcPr>
          <w:p w14:paraId="55CE201A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14:paraId="5FB27383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PN-EN 13285:2004</w:t>
            </w:r>
          </w:p>
        </w:tc>
        <w:tc>
          <w:tcPr>
            <w:tcW w:w="4993" w:type="dxa"/>
          </w:tcPr>
          <w:p w14:paraId="5C066246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Mieszanki niezwiązane. Specyfikacje (patrz: poz. 7 i 8)</w:t>
            </w:r>
          </w:p>
        </w:tc>
      </w:tr>
      <w:tr w:rsidR="00E908C8" w:rsidRPr="001D62C9" w14:paraId="4B0903BB" w14:textId="77777777" w:rsidTr="00E37152">
        <w:tc>
          <w:tcPr>
            <w:tcW w:w="851" w:type="dxa"/>
          </w:tcPr>
          <w:p w14:paraId="7EC1B6C5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3.</w:t>
            </w:r>
          </w:p>
        </w:tc>
        <w:tc>
          <w:tcPr>
            <w:tcW w:w="1984" w:type="dxa"/>
          </w:tcPr>
          <w:p w14:paraId="688D9E12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PN-B-04481:1988</w:t>
            </w:r>
          </w:p>
        </w:tc>
        <w:tc>
          <w:tcPr>
            <w:tcW w:w="4993" w:type="dxa"/>
          </w:tcPr>
          <w:p w14:paraId="1BF61825" w14:textId="77777777" w:rsidR="00E908C8" w:rsidRPr="001D62C9" w:rsidRDefault="00E908C8" w:rsidP="00E371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D62C9">
              <w:rPr>
                <w:rFonts w:ascii="Bookman Old Style" w:hAnsi="Bookman Old Style"/>
                <w:sz w:val="20"/>
                <w:szCs w:val="20"/>
              </w:rPr>
              <w:t>Grunty budowlane. Badanie próbek gruntu</w:t>
            </w:r>
          </w:p>
        </w:tc>
      </w:tr>
    </w:tbl>
    <w:p w14:paraId="010C6B56" w14:textId="77777777" w:rsidR="00D33DF2" w:rsidRDefault="00D33DF2"/>
    <w:sectPr w:rsidR="00D33DF2" w:rsidSect="00AA2E19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3F045" w14:textId="77777777" w:rsidR="00E702FA" w:rsidRDefault="00E702FA" w:rsidP="00D64EE2">
      <w:r>
        <w:separator/>
      </w:r>
    </w:p>
  </w:endnote>
  <w:endnote w:type="continuationSeparator" w:id="0">
    <w:p w14:paraId="509DD752" w14:textId="77777777" w:rsidR="00E702FA" w:rsidRDefault="00E702FA" w:rsidP="00D6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23747" w14:textId="77777777" w:rsidR="00E702FA" w:rsidRDefault="00E702FA" w:rsidP="00D64EE2">
      <w:r>
        <w:separator/>
      </w:r>
    </w:p>
  </w:footnote>
  <w:footnote w:type="continuationSeparator" w:id="0">
    <w:p w14:paraId="37BB2C2B" w14:textId="77777777" w:rsidR="00E702FA" w:rsidRDefault="00E702FA" w:rsidP="00D64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0390"/>
    <w:multiLevelType w:val="hybridMultilevel"/>
    <w:tmpl w:val="CB6EF31C"/>
    <w:lvl w:ilvl="0" w:tplc="2A44EA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E1472E"/>
    <w:multiLevelType w:val="hybridMultilevel"/>
    <w:tmpl w:val="C218A55A"/>
    <w:lvl w:ilvl="0" w:tplc="73BA2F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708175">
    <w:abstractNumId w:val="1"/>
  </w:num>
  <w:num w:numId="2" w16cid:durableId="99641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8C8"/>
    <w:rsid w:val="00291343"/>
    <w:rsid w:val="00386B5F"/>
    <w:rsid w:val="007D0CB4"/>
    <w:rsid w:val="00A5314D"/>
    <w:rsid w:val="00AA2E19"/>
    <w:rsid w:val="00BE0547"/>
    <w:rsid w:val="00C44E38"/>
    <w:rsid w:val="00D33DF2"/>
    <w:rsid w:val="00D64EE2"/>
    <w:rsid w:val="00E702FA"/>
    <w:rsid w:val="00E908C8"/>
    <w:rsid w:val="00F0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333A"/>
  <w15:chartTrackingRefBased/>
  <w15:docId w15:val="{71F31072-103C-4AE1-BC12-077DFAF0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E908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4">
    <w:name w:val="heading 4"/>
    <w:aliases w:val="Nagłówek 4 Znak Znak,Legenda Znak Znak Znak,Nagłówek 4 Znak Znak Znak Znak Znak,Znak Znak9 Znak Znak Znak Znak Znak Znak Znak Znak,Znak4 Znak Znak Znak Znak Znak Znak Znak Znak Znak,Znak Znak9,Znak4 Znak1"/>
    <w:basedOn w:val="Normalny"/>
    <w:next w:val="Normalny"/>
    <w:link w:val="Nagwek4Znak1"/>
    <w:qFormat/>
    <w:rsid w:val="00E908C8"/>
    <w:pPr>
      <w:keepNext/>
      <w:spacing w:before="12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uiPriority w:val="9"/>
    <w:semiHidden/>
    <w:rsid w:val="00E908C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4Znak1">
    <w:name w:val="Nagłówek 4 Znak1"/>
    <w:aliases w:val="Nagłówek 4 Znak Znak Znak,Legenda Znak Znak Znak Znak,Nagłówek 4 Znak Znak Znak Znak Znak Znak,Znak Znak9 Znak Znak Znak Znak Znak Znak Znak Znak Znak,Znak4 Znak Znak Znak Znak Znak Znak Znak Znak Znak Znak,Znak Znak9 Znak"/>
    <w:basedOn w:val="Domylnaczcionkaakapitu"/>
    <w:link w:val="Nagwek4"/>
    <w:rsid w:val="00E908C8"/>
    <w:rPr>
      <w:rFonts w:ascii="Times New Roman" w:eastAsia="Times New Roman" w:hAnsi="Times New Roman" w:cs="Times New Roman"/>
      <w:b/>
      <w:bCs/>
      <w:kern w:val="0"/>
      <w:sz w:val="24"/>
      <w:szCs w:val="28"/>
      <w:lang w:eastAsia="pl-PL"/>
      <w14:ligatures w14:val="none"/>
    </w:rPr>
  </w:style>
  <w:style w:type="paragraph" w:customStyle="1" w:styleId="Standardowytekst1">
    <w:name w:val="Standardowy.tekst1"/>
    <w:rsid w:val="00E908C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908C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908C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4E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4EE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4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4EE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1181</Words>
  <Characters>7092</Characters>
  <Application>Microsoft Office Word</Application>
  <DocSecurity>0</DocSecurity>
  <Lines>59</Lines>
  <Paragraphs>16</Paragraphs>
  <ScaleCrop>false</ScaleCrop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Karol Kossakowski</cp:lastModifiedBy>
  <cp:revision>5</cp:revision>
  <dcterms:created xsi:type="dcterms:W3CDTF">2023-11-27T10:45:00Z</dcterms:created>
  <dcterms:modified xsi:type="dcterms:W3CDTF">2026-04-11T15:59:00Z</dcterms:modified>
</cp:coreProperties>
</file>